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0" w:name="_Ref235808178"/>
      <w:bookmarkStart w:id="1" w:name="_Ref229217717"/>
      <w:bookmarkEnd w:id="0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r w:rsidRPr="0037313D">
        <w:t>Smluvní  strany</w:t>
      </w: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2" w:name="_Ref240985854"/>
      <w:bookmarkStart w:id="3" w:name="_Ref254730209"/>
      <w:bookmarkStart w:id="4" w:name="_Ref286161577"/>
      <w:bookmarkStart w:id="5" w:name="_Ref347869863"/>
      <w:r w:rsidRPr="0037313D">
        <w:lastRenderedPageBreak/>
        <w:t xml:space="preserve">Předmět </w:t>
      </w:r>
      <w:bookmarkEnd w:id="2"/>
      <w:bookmarkEnd w:id="3"/>
      <w:bookmarkEnd w:id="4"/>
      <w:r w:rsidR="0050519C">
        <w:t>smlouvy</w:t>
      </w:r>
      <w:bookmarkEnd w:id="5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6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F42B1D">
        <w:rPr>
          <w:b/>
          <w:sz w:val="24"/>
          <w:szCs w:val="24"/>
        </w:rPr>
        <w:t>Vybavení, materiál a suroviny pro rukodělnou činnost „DŘEVO - ŘEZBÁŘSTVÍ</w:t>
      </w:r>
      <w:bookmarkStart w:id="7" w:name="_GoBack"/>
      <w:bookmarkEnd w:id="7"/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6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>Evropskou unií z Evropského zemědělského fondu pro rozvoj venkova prostřednictvím Státního zemědělského intervenčního fondu v rámci Programu rozvoje venkova ČR, opatření 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B446AD" w:rsidRPr="001C3F6B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 xml:space="preserve">2013.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této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>upující zboží převezme, nevykazuje-li zboží žádné vady. Prodávající je povinen předat kupujícímu doklady, jež jsou nutné k užívání 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této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 xml:space="preserve">této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>Termín ukončení realizace projektu je stanoven k datu 3.9.2014.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1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01" w:rsidRDefault="00CF4D01">
      <w:r>
        <w:separator/>
      </w:r>
    </w:p>
  </w:endnote>
  <w:endnote w:type="continuationSeparator" w:id="0">
    <w:p w:rsidR="00CF4D01" w:rsidRDefault="00CF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CF4D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F42B1D">
      <w:rPr>
        <w:rFonts w:ascii="Calibri" w:hAnsi="Calibri"/>
        <w:noProof/>
        <w:sz w:val="20"/>
        <w:szCs w:val="20"/>
      </w:rPr>
      <w:t>2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F42B1D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01" w:rsidRDefault="00CF4D01">
      <w:r>
        <w:separator/>
      </w:r>
    </w:p>
  </w:footnote>
  <w:footnote w:type="continuationSeparator" w:id="0">
    <w:p w:rsidR="00CF4D01" w:rsidRDefault="00CF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F3C8C"/>
    <w:rsid w:val="00101D20"/>
    <w:rsid w:val="00107065"/>
    <w:rsid w:val="0015427A"/>
    <w:rsid w:val="00163FA1"/>
    <w:rsid w:val="00171F02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4D01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45EB5"/>
    <w:rsid w:val="00E466BB"/>
    <w:rsid w:val="00E466E1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42B1D"/>
    <w:rsid w:val="00F522CA"/>
    <w:rsid w:val="00F54337"/>
    <w:rsid w:val="00F561E5"/>
    <w:rsid w:val="00F74576"/>
    <w:rsid w:val="00F77883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2E2E-D4E6-4EAB-874E-6E02026E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2421</Words>
  <Characters>14286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52</cp:revision>
  <dcterms:created xsi:type="dcterms:W3CDTF">2013-03-10T21:50:00Z</dcterms:created>
  <dcterms:modified xsi:type="dcterms:W3CDTF">2013-04-16T21:40:00Z</dcterms:modified>
</cp:coreProperties>
</file>